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tbl>
      <w:tblPr>
        <w:tblStyle w:val="T2"/>
        <w:tblW w:w="9136" w:type="dxa"/>
        <w:tblLook w:val="04A0"/>
      </w:tblPr>
      <w:tblGrid>
        <w:gridCol w:w="499"/>
        <w:gridCol w:w="2292"/>
        <w:gridCol w:w="497"/>
        <w:gridCol w:w="498"/>
        <w:gridCol w:w="498"/>
        <w:gridCol w:w="498"/>
        <w:gridCol w:w="599"/>
        <w:gridCol w:w="567"/>
        <w:gridCol w:w="709"/>
        <w:gridCol w:w="708"/>
        <w:gridCol w:w="567"/>
        <w:gridCol w:w="652"/>
        <w:gridCol w:w="552"/>
      </w:tblGrid>
      <w:tr>
        <w:trPr>
          <w:trHeight w:hRule="atLeast" w:val="3243"/>
        </w:trPr>
        <w:tc>
          <w:tcPr>
            <w:tcW w:w="499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 xml:space="preserve">ÖĞRENCİNİN  NUMARASI</w:t>
            </w:r>
          </w:p>
        </w:tc>
        <w:tc>
          <w:tcPr>
            <w:tcW w:w="2292" w:type="dxa"/>
            <w:noWrap/>
            <w:hideMark/>
          </w:tcPr>
          <w:p/>
          <w:p>
            <w:r>
              <w:t xml:space="preserve">Konuşma Türü: </w:t>
            </w:r>
          </w:p>
          <w:p>
            <w:r>
              <w:t>Haz</w:t>
            </w:r>
            <w:r>
              <w:rPr>
                <w:rFonts w:ascii="Calibri" w:hAnsi="Calibri" w:cs="Calibri"/>
              </w:rPr>
              <w:t>ı</w:t>
            </w:r>
            <w:r>
              <w:t>rl</w:t>
            </w:r>
            <w:r>
              <w:rPr>
                <w:rFonts w:ascii="Calibri" w:hAnsi="Calibri" w:cs="Calibri"/>
              </w:rPr>
              <w:t>ı</w:t>
            </w:r>
            <w:r>
              <w:t>kl</w:t>
            </w:r>
            <w:r>
              <w:rPr>
                <w:rFonts w:ascii="Calibri" w:hAnsi="Calibri" w:cs="Calibri"/>
              </w:rPr>
              <w:t>ı</w:t>
            </w:r>
            <w:r>
              <w:t xml:space="preserve">    </w:t>
            </w:r>
            <w:r>
              <w:rPr>
                <w:rFonts w:ascii="Segoe UI Symbol" w:hAnsi="Segoe UI Symbol" w:cs="Segoe UI Symbol"/>
              </w:rPr>
              <w:t>☐</w:t>
            </w:r>
          </w:p>
          <w:p>
            <w:r>
              <w:t>Haz</w:t>
            </w:r>
            <w:r>
              <w:rPr>
                <w:rFonts w:ascii="Calibri" w:hAnsi="Calibri" w:cs="Calibri"/>
              </w:rPr>
              <w:t>ı</w:t>
            </w:r>
            <w:r>
              <w:t>rl</w:t>
            </w:r>
            <w:r>
              <w:rPr>
                <w:rFonts w:ascii="Calibri" w:hAnsi="Calibri" w:cs="Calibri"/>
              </w:rPr>
              <w:t>ı</w:t>
            </w:r>
            <w:r>
              <w:t>ks</w:t>
            </w:r>
            <w:r>
              <w:rPr>
                <w:rFonts w:ascii="Calibri" w:hAnsi="Calibri" w:cs="Calibri"/>
              </w:rPr>
              <w:t>ı</w:t>
            </w:r>
            <w:r>
              <w:t xml:space="preserve">z  </w:t>
            </w:r>
            <w:r>
              <w:rPr>
                <w:rFonts w:ascii="Segoe UI Symbol" w:hAnsi="Segoe UI Symbol" w:cs="Segoe UI Symbol"/>
              </w:rPr>
              <w:t>☐</w:t>
            </w:r>
          </w:p>
          <w:p/>
          <w:p/>
          <w:p/>
          <w:p/>
          <w:p>
            <w:r>
              <w:t xml:space="preserve">ÖĞRENCİNİN  </w:t>
            </w:r>
          </w:p>
          <w:p>
            <w:r>
              <w:t xml:space="preserve"> ADI  SOYADI</w:t>
            </w:r>
          </w:p>
        </w:tc>
        <w:tc>
          <w:tcPr>
            <w:tcW w:w="498" w:type="dxa"/>
            <w:textDirection w:val="btLr"/>
            <w:hideMark/>
          </w:tcPr>
          <w:p>
            <w:r>
              <w:t>Konuşma öncesinde hazırlık yapar.</w:t>
            </w:r>
          </w:p>
        </w:tc>
        <w:tc>
          <w:tcPr>
            <w:tcW w:w="498" w:type="dxa"/>
            <w:textDirection w:val="btLr"/>
            <w:hideMark/>
          </w:tcPr>
          <w:p>
            <w:r>
              <w:t>Dinleyicilerle göz teması kurar.</w:t>
            </w:r>
          </w:p>
        </w:tc>
        <w:tc>
          <w:tcPr>
            <w:tcW w:w="498" w:type="dxa"/>
            <w:textDirection w:val="btLr"/>
            <w:hideMark/>
          </w:tcPr>
          <w:p>
            <w:r>
              <w:t>Açık, anlaşılır ve yalın bir dil kullanır.</w:t>
            </w:r>
          </w:p>
        </w:tc>
        <w:tc>
          <w:tcPr>
            <w:tcW w:w="498" w:type="dxa"/>
            <w:textDirection w:val="btLr"/>
            <w:hideMark/>
          </w:tcPr>
          <w:p>
            <w:r>
              <w:t>Sözcükleri doğru telaffuz eder.</w:t>
            </w:r>
          </w:p>
        </w:tc>
        <w:tc>
          <w:tcPr>
            <w:tcW w:w="599" w:type="dxa"/>
            <w:textDirection w:val="btLr"/>
            <w:hideMark/>
          </w:tcPr>
          <w:p>
            <w:r>
              <w:t>Jest ve mimiklerini doğru kullanır.</w:t>
            </w:r>
          </w:p>
        </w:tc>
        <w:tc>
          <w:tcPr>
            <w:tcW w:w="567" w:type="dxa"/>
            <w:textDirection w:val="btLr"/>
            <w:hideMark/>
          </w:tcPr>
          <w:p>
            <w:r>
              <w:t>İşitilebilir bir ses tonuyla konuşur.</w:t>
            </w:r>
          </w:p>
        </w:tc>
        <w:tc>
          <w:tcPr>
            <w:tcW w:w="709" w:type="dxa"/>
            <w:textDirection w:val="btLr"/>
            <w:hideMark/>
          </w:tcPr>
          <w:p>
            <w:r>
              <w:t>Konuşmasını bütünlük ve tutarlılık içinde sürdürür.</w:t>
            </w:r>
          </w:p>
        </w:tc>
        <w:tc>
          <w:tcPr>
            <w:tcW w:w="708" w:type="dxa"/>
            <w:textDirection w:val="btLr"/>
            <w:hideMark/>
          </w:tcPr>
          <w:p>
            <w:r>
              <w:t>Gereksiz seslerden ve tekrardan kaçınır.</w:t>
            </w:r>
          </w:p>
        </w:tc>
        <w:tc>
          <w:tcPr>
            <w:tcW w:w="567" w:type="dxa"/>
            <w:textDirection w:val="btLr"/>
            <w:hideMark/>
          </w:tcPr>
          <w:p>
            <w:r>
              <w:t>Gereksiz sesler çıkarmaktan kaçınır.</w:t>
            </w:r>
          </w:p>
        </w:tc>
        <w:tc>
          <w:tcPr>
            <w:tcW w:w="652" w:type="dxa"/>
            <w:textDirection w:val="btLr"/>
            <w:hideMark/>
          </w:tcPr>
          <w:p>
            <w:r>
              <w:t>Konuşmasını belirtilen sürede tamamlar.</w:t>
            </w:r>
          </w:p>
        </w:tc>
        <w:tc>
          <w:tcPr>
            <w:tcW w:w="551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TOPLAM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 </w:t>
            </w:r>
          </w:p>
        </w:tc>
        <w:tc>
          <w:tcPr>
            <w:tcW w:w="2292" w:type="dxa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PUANLAMA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599" w:type="dxa"/>
            <w:hideMark/>
          </w:tcPr>
          <w:p>
            <w:r>
              <w:t>10</w:t>
            </w:r>
          </w:p>
        </w:tc>
        <w:tc>
          <w:tcPr>
            <w:tcW w:w="567" w:type="dxa"/>
            <w:hideMark/>
          </w:tcPr>
          <w:p>
            <w:r>
              <w:t>10</w:t>
            </w:r>
          </w:p>
        </w:tc>
        <w:tc>
          <w:tcPr>
            <w:tcW w:w="709" w:type="dxa"/>
            <w:hideMark/>
          </w:tcPr>
          <w:p>
            <w:r>
              <w:t>10</w:t>
            </w:r>
          </w:p>
        </w:tc>
        <w:tc>
          <w:tcPr>
            <w:tcW w:w="708" w:type="dxa"/>
            <w:hideMark/>
          </w:tcPr>
          <w:p>
            <w:r>
              <w:t>10</w:t>
            </w:r>
          </w:p>
        </w:tc>
        <w:tc>
          <w:tcPr>
            <w:tcW w:w="567" w:type="dxa"/>
            <w:hideMark/>
          </w:tcPr>
          <w:p>
            <w:r>
              <w:t>10</w:t>
            </w:r>
          </w:p>
        </w:tc>
        <w:tc>
          <w:tcPr>
            <w:tcW w:w="652" w:type="dxa"/>
            <w:hideMark/>
          </w:tcPr>
          <w:p>
            <w:r>
              <w:t>10</w:t>
            </w:r>
          </w:p>
        </w:tc>
        <w:tc>
          <w:tcPr>
            <w:tcW w:w="551" w:type="dxa"/>
            <w:noWrap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100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5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auto"/>
              </w:rPr>
              <w:t>MUSTAFA ALPEREN SADE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94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FFFFFF"/>
              </w:rPr>
              <w:t>MİNEL KAFFAROĞLU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212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auto"/>
              </w:rPr>
              <w:t>ARDA ZİYA YÜKSEK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215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FFFFFF"/>
              </w:rPr>
              <w:t>OZAN ÇAY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222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auto"/>
              </w:rPr>
              <w:t>EMİNE ŞİMŞEK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231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FFFFFF"/>
              </w:rPr>
              <w:t>ÖKKEŞ EFE SOYLU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235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auto"/>
              </w:rPr>
              <w:t>EDİBE ŞİMŞEK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242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FFFFFF"/>
                <w:rtl w:val="0"/>
                <w:lang w:val="tr-TR" w:bidi="tr-TR" w:eastAsia="tr-TR"/>
              </w:rPr>
              <w:t>İ</w:t>
            </w: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FFFFFF"/>
              </w:rPr>
              <w:t>DRİS TAHA CAN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255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auto"/>
              </w:rPr>
              <w:t>BAŞAK CESUR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285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FFFFFF"/>
              </w:rPr>
              <w:t>ELANUR GÜNDOĞDU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288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auto"/>
              </w:rPr>
              <w:t>NURSENA SARIGÜL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293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FFFFFF"/>
              </w:rPr>
              <w:t>ARİF EMRE YILMAZ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351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auto"/>
              </w:rPr>
              <w:t>ÖYKÜ YILMAZ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369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FFFFFF"/>
                <w:rtl w:val="0"/>
                <w:lang w:val="tr-TR" w:bidi="tr-TR" w:eastAsia="tr-TR"/>
              </w:rPr>
              <w:t>IL</w:t>
            </w: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FFFFFF"/>
              </w:rPr>
              <w:t>GIN GÖKSU BATTAL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393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auto"/>
              </w:rPr>
              <w:t>ESMA GÜLSÜM ÇETİN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436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FFFFFF"/>
              </w:rPr>
              <w:t>MERYEM NUR GÜL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471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auto"/>
              </w:rPr>
              <w:t>ZEYNEP IŞIK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486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FFFFFF"/>
              </w:rPr>
              <w:t>UTKU UĞURLAR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500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auto"/>
              </w:rPr>
              <w:t>RÜMEYSA ÇELİK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512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FFFFFF"/>
              </w:rPr>
              <w:t>YUSUF KEREM BUGAY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520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auto"/>
              </w:rPr>
              <w:t>İREM EFE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52</w:t>
            </w:r>
            <w:r>
              <w:rPr>
                <w:b w:val="1"/>
                <w:bCs w:val="1"/>
                <w:rtl w:val="0"/>
                <w:lang w:val="tr-TR" w:bidi="tr-TR" w:eastAsia="tr-TR"/>
              </w:rPr>
              <w:t>6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FFFFFF"/>
              </w:rPr>
              <w:t>ZEYNEP DİDEM YILMAZ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555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auto"/>
              </w:rPr>
              <w:t>BURAK EFE KIZILDAĞ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612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FFFFFF"/>
              </w:rPr>
              <w:t>EREN KÖYMEN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666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auto"/>
              </w:rPr>
              <w:t>GÜLAFER ERVA ÜNALAN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667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FFFFFF"/>
              </w:rPr>
              <w:t>DEMİR KIRPIK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677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auto"/>
              </w:rPr>
              <w:t>GÜNDÜZ ÇÖLKESEN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711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FFFFFF"/>
              </w:rPr>
              <w:t>FADİME GÖKGÖZ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778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auto"/>
              </w:rPr>
              <w:t>HAMZA AKPINAR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961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FFFFFF"/>
              </w:rPr>
              <w:t>MİRAC ALPEREN AĞAOĞL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971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rFonts w:ascii="Myriad-Pro" w:hAnsi="Myriad-Pro" w:cs="Myriad-Pro" w:eastAsia="Myriad-Pro"/>
                <w:sz w:val="14"/>
                <w:szCs w:val="14"/>
                <w:shd w:val="clear" w:color="auto" w:fill="auto"/>
              </w:rPr>
              <w:t>MEHMET ATA ŞAHİN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</w:tbl>
    <w:p>
      <w:bookmarkStart w:id="0" w:name="_dx_frag_EndFragment"/>
      <w:bookmarkEnd w:id="0"/>
    </w:p>
    <w:sectPr>
      <w:headerReference w:type="default" r:id="RelHdr1"/>
      <w:footnotePr/>
      <w:endnotePr/>
      <w:type w:val="nextPage"/>
      <w:pgSz w:w="11906" w:h="16838" w:code="0"/>
      <w:pgMar w:left="1417" w:right="1417" w:top="1417" w:bottom="1417" w:header="708" w:footer="708" w:gutter="0"/>
    </w:sectPr>
  </w:body>
</w:document>
</file>

<file path=word/endnotes.xml><?xml version="1.0" encoding="utf-8"?>
<w:endnotes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endnote w:type="separator" w:id="-1">
    <w:p>
      <w:pPr>
        <w:spacing w:lineRule="auto" w:line="240" w:after="0" w:beforeAutospacing="0" w:afterAutospacing="0"/>
      </w:pPr>
      <w:r>
        <w:separator/>
      </w:r>
    </w:p>
  </w:endnote>
  <w:endnote w:type="continuationSeparator" w:id="0">
    <w:p>
      <w:pPr>
        <w:spacing w:lineRule="auto" w:line="240" w:after="0" w:beforeAutospacing="0" w:afterAutospacing="0"/>
      </w:pPr>
      <w:r>
        <w:continuationSeparator/>
      </w:r>
    </w:p>
  </w:endnote>
</w:endnotes>
</file>

<file path=word/footnotes.xml><?xml version="1.0" encoding="utf-8"?>
<w:footnotes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footnote w:type="separator" w:id="-1">
    <w:p>
      <w:pPr>
        <w:spacing w:lineRule="auto" w:line="240" w:after="0" w:beforeAutospacing="0" w:afterAutospacing="0"/>
      </w:pPr>
      <w:r>
        <w:separator/>
      </w:r>
    </w:p>
  </w:footnote>
  <w:footnote w:type="continuationSeparator" w:id="0">
    <w:p>
      <w:pPr>
        <w:spacing w:lineRule="auto" w:line="240" w:after="0" w:beforeAutospacing="0" w:afterAutospacing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p>
    <w:pPr>
      <w:pStyle w:val="P15"/>
    </w:pPr>
    <w:r>
      <w:t xml:space="preserve">                                      2025-2026   EĞİTİM- ÖĞRETİM YILI    ADANA ANADOLU LİSESİ</w:t>
    </w:r>
  </w:p>
  <w:p>
    <w:pPr>
      <w:pStyle w:val="P15"/>
    </w:pPr>
    <w:r>
      <w:t xml:space="preserve">                          </w:t>
    </w:r>
    <w:r>
      <w:rPr>
        <w:rtl w:val="0"/>
        <w:lang w:val="tr-TR" w:bidi="tr-TR" w:eastAsia="tr-TR"/>
      </w:rPr>
      <w:t>11/</w:t>
    </w:r>
    <w:r>
      <w:rPr>
        <w:rtl w:val="0"/>
        <w:lang w:val="tr-TR" w:bidi="tr-TR" w:eastAsia="tr-TR"/>
      </w:rPr>
      <w:t>C</w:t>
    </w:r>
    <w:r>
      <w:t xml:space="preserve">  SINIFI   1. DÖNEM 1.  KONUŞMA BECERİLERİ DEĞERLENDİRME ÖLÇEĞİ</w:t>
    </w: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r="http://schemas.openxmlformats.org/officeDocument/2006/relationships" xmlns:w="http://schemas.openxmlformats.org/wordprocessingml/2006/main">
  <w:displayBackgroundShape w:val="0"/>
  <w:defaultTabStop w:val="708"/>
  <w:autoHyphenation w:val="0"/>
  <w:hyphenationZone w:val="425"/>
  <w:evenAndOddHeaders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brkBin m:val="before"/>
    <m:brkBinSub m:val="--"/>
    <m:defJc m:val="centerGroup"/>
    <m:dispDef/>
    <m:interSp m:val="0"/>
    <m:intLim m:val="subSup"/>
    <m:intraSp m:val="0"/>
    <m:lMargin m:val="0"/>
    <m:mathFont m:val="Cambria Math"/>
    <m:naryLim m:val="undOvr"/>
    <m:postSp m:val="0"/>
    <m:preSp m:val="0"/>
    <m:rMargin m:val="0"/>
    <m:smallFrac/>
    <m:wrapIndent m:val="1440"/>
    <m:wrapRight m:val="0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footnotePr>
    <w:footnote w:id="-1"/>
    <w:footnote w:id="0"/>
  </w:footnotePr>
  <w:endnotePr>
    <w:endnote w:id="-1"/>
    <w:endnote w:id="0"/>
  </w:endnotePr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2"/>
        <w:szCs w:val="22"/>
        <w:kern w:val="2"/>
        <w:lang w:val="tr-TR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link w:val="C3"/>
    <w:qFormat/>
    <w:pPr>
      <w:keepNext w:val="1"/>
      <w:keepLines w:val="1"/>
      <w:spacing w:before="360" w:after="80" w:beforeAutospacing="0" w:afterAutospacing="0"/>
      <w:outlineLvl w:val="0"/>
    </w:pPr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paragraph" w:styleId="P2">
    <w:name w:val="Heading 2"/>
    <w:basedOn w:val="P0"/>
    <w:next w:val="P0"/>
    <w:link w:val="C4"/>
    <w:semiHidden/>
    <w:qFormat/>
    <w:pPr>
      <w:keepNext w:val="1"/>
      <w:keepLines w:val="1"/>
      <w:spacing w:before="160" w:after="80" w:beforeAutospacing="0" w:afterAutospacing="0"/>
      <w:outlineLvl w:val="1"/>
    </w:pPr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paragraph" w:styleId="P3">
    <w:name w:val="Heading 3"/>
    <w:basedOn w:val="P0"/>
    <w:next w:val="P0"/>
    <w:link w:val="C5"/>
    <w:semiHidden/>
    <w:qFormat/>
    <w:pPr>
      <w:keepNext w:val="1"/>
      <w:keepLines w:val="1"/>
      <w:spacing w:before="160" w:after="80" w:beforeAutospacing="0" w:afterAutospacing="0"/>
      <w:outlineLvl w:val="2"/>
    </w:pPr>
    <w:rPr>
      <w:rFonts w:cstheme="majorBidi" w:eastAsiaTheme="majorEastAsia"/>
      <w:color w:val="2F5496" w:themeColor="accent1" w:themeShade="BF"/>
      <w:sz w:val="28"/>
      <w:szCs w:val="28"/>
    </w:rPr>
  </w:style>
  <w:style w:type="paragraph" w:styleId="P4">
    <w:name w:val="Heading 4"/>
    <w:basedOn w:val="P0"/>
    <w:next w:val="P0"/>
    <w:link w:val="C6"/>
    <w:semiHidden/>
    <w:qFormat/>
    <w:pPr>
      <w:keepNext w:val="1"/>
      <w:keepLines w:val="1"/>
      <w:spacing w:before="80" w:after="40" w:beforeAutospacing="0" w:afterAutospacing="0"/>
      <w:outlineLvl w:val="3"/>
    </w:pPr>
    <w:rPr>
      <w:rFonts w:cstheme="majorBidi" w:eastAsiaTheme="majorEastAsia"/>
      <w:i w:val="1"/>
      <w:iCs w:val="1"/>
      <w:color w:val="2F5496" w:themeColor="accent1" w:themeShade="BF"/>
    </w:rPr>
  </w:style>
  <w:style w:type="paragraph" w:styleId="P5">
    <w:name w:val="Heading 5"/>
    <w:basedOn w:val="P0"/>
    <w:next w:val="P0"/>
    <w:link w:val="C7"/>
    <w:semiHidden/>
    <w:qFormat/>
    <w:pPr>
      <w:keepNext w:val="1"/>
      <w:keepLines w:val="1"/>
      <w:spacing w:before="80" w:after="40" w:beforeAutospacing="0" w:afterAutospacing="0"/>
      <w:outlineLvl w:val="4"/>
    </w:pPr>
    <w:rPr>
      <w:rFonts w:cstheme="majorBidi" w:eastAsiaTheme="majorEastAsia"/>
      <w:color w:val="2F5496" w:themeColor="accent1" w:themeShade="BF"/>
    </w:rPr>
  </w:style>
  <w:style w:type="paragraph" w:styleId="P6">
    <w:name w:val="Heading 6"/>
    <w:basedOn w:val="P0"/>
    <w:next w:val="P0"/>
    <w:link w:val="C8"/>
    <w:semiHidden/>
    <w:qFormat/>
    <w:pPr>
      <w:keepNext w:val="1"/>
      <w:keepLines w:val="1"/>
      <w:spacing w:before="40" w:after="0" w:beforeAutospacing="0" w:afterAutospacing="0"/>
      <w:outlineLvl w:val="5"/>
    </w:pPr>
    <w:rPr>
      <w:rFonts w:cstheme="majorBidi" w:eastAsiaTheme="majorEastAsia"/>
      <w:i w:val="1"/>
      <w:iCs w:val="1"/>
      <w:color w:val="595959" w:themeColor="text1" w:themeTint="A6"/>
    </w:rPr>
  </w:style>
  <w:style w:type="paragraph" w:styleId="P7">
    <w:name w:val="Heading 7"/>
    <w:basedOn w:val="P0"/>
    <w:next w:val="P0"/>
    <w:link w:val="C9"/>
    <w:semiHidden/>
    <w:qFormat/>
    <w:pPr>
      <w:keepNext w:val="1"/>
      <w:keepLines w:val="1"/>
      <w:spacing w:before="40" w:after="0" w:beforeAutospacing="0" w:afterAutospacing="0"/>
      <w:outlineLvl w:val="6"/>
    </w:pPr>
    <w:rPr>
      <w:rFonts w:cstheme="majorBidi" w:eastAsiaTheme="majorEastAsia"/>
      <w:color w:val="595959" w:themeColor="text1" w:themeTint="A6"/>
    </w:rPr>
  </w:style>
  <w:style w:type="paragraph" w:styleId="P8">
    <w:name w:val="Heading 8"/>
    <w:basedOn w:val="P0"/>
    <w:next w:val="P0"/>
    <w:link w:val="C10"/>
    <w:semiHidden/>
    <w:qFormat/>
    <w:pPr>
      <w:keepNext w:val="1"/>
      <w:keepLines w:val="1"/>
      <w:spacing w:after="0" w:beforeAutospacing="0" w:afterAutospacing="0"/>
      <w:outlineLvl w:val="7"/>
    </w:pPr>
    <w:rPr>
      <w:rFonts w:cstheme="majorBidi" w:eastAsiaTheme="majorEastAsia"/>
      <w:i w:val="1"/>
      <w:iCs w:val="1"/>
      <w:color w:val="272727" w:themeColor="text1" w:themeTint="D8"/>
    </w:rPr>
  </w:style>
  <w:style w:type="paragraph" w:styleId="P9">
    <w:name w:val="Heading 9"/>
    <w:basedOn w:val="P0"/>
    <w:next w:val="P0"/>
    <w:link w:val="C11"/>
    <w:semiHidden/>
    <w:qFormat/>
    <w:pPr>
      <w:keepNext w:val="1"/>
      <w:keepLines w:val="1"/>
      <w:spacing w:after="0" w:beforeAutospacing="0" w:afterAutospacing="0"/>
      <w:outlineLvl w:val="8"/>
    </w:pPr>
    <w:rPr>
      <w:rFonts w:cstheme="majorBidi" w:eastAsiaTheme="majorEastAsia"/>
      <w:color w:val="272727" w:themeColor="text1" w:themeTint="D8"/>
    </w:rPr>
  </w:style>
  <w:style w:type="paragraph" w:styleId="P10">
    <w:name w:val="Title"/>
    <w:basedOn w:val="P0"/>
    <w:next w:val="P0"/>
    <w:link w:val="C12"/>
    <w:qFormat/>
    <w:pPr>
      <w:spacing w:lineRule="auto" w:line="240" w:after="80" w:beforeAutospacing="0" w:afterAutospacing="0"/>
      <w:contextualSpacing w:val="1"/>
    </w:pPr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paragraph" w:styleId="P11">
    <w:name w:val="Subtitle"/>
    <w:basedOn w:val="P0"/>
    <w:next w:val="P0"/>
    <w:link w:val="C13"/>
    <w:qFormat/>
    <w:pPr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paragraph" w:styleId="P12">
    <w:name w:val="Quote"/>
    <w:basedOn w:val="P0"/>
    <w:next w:val="P0"/>
    <w:link w:val="C14"/>
    <w:qFormat/>
    <w:pPr>
      <w:spacing w:before="160" w:beforeAutospacing="0" w:afterAutospacing="0"/>
      <w:jc w:val="center"/>
    </w:pPr>
    <w:rPr>
      <w:i w:val="1"/>
      <w:iCs w:val="1"/>
      <w:color w:val="404040" w:themeColor="text1" w:themeTint="BF"/>
    </w:rPr>
  </w:style>
  <w:style w:type="paragraph" w:styleId="P13">
    <w:name w:val="List Paragraph"/>
    <w:basedOn w:val="P0"/>
    <w:qFormat/>
    <w:pPr>
      <w:ind w:left="720"/>
      <w:contextualSpacing w:val="1"/>
    </w:pPr>
    <w:rPr/>
  </w:style>
  <w:style w:type="paragraph" w:styleId="P14">
    <w:name w:val="Intense Quote"/>
    <w:basedOn w:val="P0"/>
    <w:next w:val="P0"/>
    <w:link w:val="C16"/>
    <w:qFormat/>
    <w:pPr>
      <w:pBdr>
        <w:top w:val="single" w:sz="4" w:space="10" w:shadow="0" w:frame="0" w:color="2F5496" w:themeColor="accent1" w:themeShade="BF"/>
        <w:left w:val="none" w:sz="0" w:space="0" w:shadow="0" w:frame="0" w:color="auto"/>
        <w:bottom w:val="single" w:sz="4" w:space="10" w:shadow="0" w:frame="0" w:color="2F5496" w:themeColor="accent1" w:themeShade="BF"/>
        <w:right w:val="none" w:sz="0" w:space="0" w:shadow="0" w:frame="0" w:color="auto"/>
        <w:between w:val="none" w:sz="0" w:space="0" w:shadow="0" w:frame="0" w:color="auto"/>
      </w:pBdr>
      <w:spacing w:before="360" w:after="360" w:beforeAutospacing="0" w:afterAutospacing="0"/>
      <w:ind w:left="864" w:right="864"/>
      <w:jc w:val="center"/>
    </w:pPr>
    <w:rPr>
      <w:i w:val="1"/>
      <w:iCs w:val="1"/>
      <w:color w:val="2F5496" w:themeColor="accent1" w:themeShade="BF"/>
    </w:rPr>
  </w:style>
  <w:style w:type="paragraph" w:styleId="P15">
    <w:name w:val="Header"/>
    <w:basedOn w:val="P0"/>
    <w:link w:val="C18"/>
    <w:pPr>
      <w:tabs>
        <w:tab w:val="center" w:pos="4536" w:leader="none"/>
        <w:tab w:val="right" w:pos="9072" w:leader="none"/>
      </w:tabs>
      <w:spacing w:lineRule="auto" w:line="240" w:after="0" w:beforeAutospacing="0" w:afterAutospacing="0"/>
    </w:pPr>
    <w:rPr/>
  </w:style>
  <w:style w:type="paragraph" w:styleId="P16">
    <w:name w:val="Footer"/>
    <w:basedOn w:val="P0"/>
    <w:link w:val="C19"/>
    <w:pPr>
      <w:tabs>
        <w:tab w:val="center" w:pos="4536" w:leader="none"/>
        <w:tab w:val="right" w:pos="9072" w:leader="none"/>
      </w:tabs>
      <w:spacing w:lineRule="auto" w:line="240" w:after="0" w:beforeAutospacing="0" w:afterAutospacing="0"/>
    </w:pPr>
    <w:rPr/>
  </w:style>
  <w:style w:type="paragraph" w:styleId="P17">
    <w:name w:val="Footnote Text"/>
    <w:link w:val="C21"/>
    <w:semiHidden/>
    <w:pPr>
      <w:spacing w:lineRule="auto" w:line="240" w:after="0"/>
    </w:pPr>
    <w:rPr>
      <w:sz w:val="20"/>
      <w:szCs w:val="20"/>
    </w:rPr>
  </w:style>
  <w:style w:type="paragraph" w:styleId="P18">
    <w:name w:val="Endnote Text"/>
    <w:link w:val="C23"/>
    <w:semiHidden/>
    <w:pPr>
      <w:spacing w:lineRule="auto" w:line="240" w:after="0"/>
    </w:pPr>
    <w:rPr>
      <w:sz w:val="20"/>
      <w:szCs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Başlık 1 Char"/>
    <w:basedOn w:val="C0"/>
    <w:link w:val="P1"/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character" w:styleId="C4">
    <w:name w:val="Başlık 2 Char"/>
    <w:basedOn w:val="C0"/>
    <w:link w:val="P2"/>
    <w:semiHidden/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character" w:styleId="C5">
    <w:name w:val="Başlık 3 Char"/>
    <w:basedOn w:val="C0"/>
    <w:link w:val="P3"/>
    <w:semiHidden/>
    <w:rPr>
      <w:rFonts w:cstheme="majorBidi" w:eastAsiaTheme="majorEastAsia"/>
      <w:color w:val="2F5496" w:themeColor="accent1" w:themeShade="BF"/>
      <w:sz w:val="28"/>
      <w:szCs w:val="28"/>
    </w:rPr>
  </w:style>
  <w:style w:type="character" w:styleId="C6">
    <w:name w:val="Başlık 4 Char"/>
    <w:basedOn w:val="C0"/>
    <w:link w:val="P4"/>
    <w:semiHidden/>
    <w:rPr>
      <w:rFonts w:cstheme="majorBidi" w:eastAsiaTheme="majorEastAsia"/>
      <w:i w:val="1"/>
      <w:iCs w:val="1"/>
      <w:color w:val="2F5496" w:themeColor="accent1" w:themeShade="BF"/>
    </w:rPr>
  </w:style>
  <w:style w:type="character" w:styleId="C7">
    <w:name w:val="Başlık 5 Char"/>
    <w:basedOn w:val="C0"/>
    <w:link w:val="P5"/>
    <w:semiHidden/>
    <w:rPr>
      <w:rFonts w:cstheme="majorBidi" w:eastAsiaTheme="majorEastAsia"/>
      <w:color w:val="2F5496" w:themeColor="accent1" w:themeShade="BF"/>
    </w:rPr>
  </w:style>
  <w:style w:type="character" w:styleId="C8">
    <w:name w:val="Başlık 6 Char"/>
    <w:basedOn w:val="C0"/>
    <w:link w:val="P6"/>
    <w:semiHidden/>
    <w:rPr>
      <w:rFonts w:cstheme="majorBidi" w:eastAsiaTheme="majorEastAsia"/>
      <w:i w:val="1"/>
      <w:iCs w:val="1"/>
      <w:color w:val="595959" w:themeColor="text1" w:themeTint="A6"/>
    </w:rPr>
  </w:style>
  <w:style w:type="character" w:styleId="C9">
    <w:name w:val="Başlık 7 Char"/>
    <w:basedOn w:val="C0"/>
    <w:link w:val="P7"/>
    <w:semiHidden/>
    <w:rPr>
      <w:rFonts w:cstheme="majorBidi" w:eastAsiaTheme="majorEastAsia"/>
      <w:color w:val="595959" w:themeColor="text1" w:themeTint="A6"/>
    </w:rPr>
  </w:style>
  <w:style w:type="character" w:styleId="C10">
    <w:name w:val="Başlık 8 Char"/>
    <w:basedOn w:val="C0"/>
    <w:link w:val="P8"/>
    <w:semiHidden/>
    <w:rPr>
      <w:rFonts w:cstheme="majorBidi" w:eastAsiaTheme="majorEastAsia"/>
      <w:i w:val="1"/>
      <w:iCs w:val="1"/>
      <w:color w:val="272727" w:themeColor="text1" w:themeTint="D8"/>
    </w:rPr>
  </w:style>
  <w:style w:type="character" w:styleId="C11">
    <w:name w:val="Başlık 9 Char"/>
    <w:basedOn w:val="C0"/>
    <w:link w:val="P9"/>
    <w:semiHidden/>
    <w:rPr>
      <w:rFonts w:cstheme="majorBidi" w:eastAsiaTheme="majorEastAsia"/>
      <w:color w:val="272727" w:themeColor="text1" w:themeTint="D8"/>
    </w:rPr>
  </w:style>
  <w:style w:type="character" w:styleId="C12">
    <w:name w:val="Konu Başlığı Char"/>
    <w:basedOn w:val="C0"/>
    <w:link w:val="P10"/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character" w:styleId="C13">
    <w:name w:val="Altyazı Char"/>
    <w:basedOn w:val="C0"/>
    <w:link w:val="P11"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character" w:styleId="C14">
    <w:name w:val="Alıntı Char"/>
    <w:basedOn w:val="C0"/>
    <w:link w:val="P12"/>
    <w:rPr>
      <w:i w:val="1"/>
      <w:iCs w:val="1"/>
      <w:color w:val="404040" w:themeColor="text1" w:themeTint="BF"/>
    </w:rPr>
  </w:style>
  <w:style w:type="character" w:styleId="C15">
    <w:name w:val="Intense Emphasis"/>
    <w:basedOn w:val="C0"/>
    <w:qFormat/>
    <w:rPr>
      <w:i w:val="1"/>
      <w:iCs w:val="1"/>
      <w:color w:val="2F5496" w:themeColor="accent1" w:themeShade="BF"/>
    </w:rPr>
  </w:style>
  <w:style w:type="character" w:styleId="C16">
    <w:name w:val="Güçlü Alıntı Char"/>
    <w:basedOn w:val="C0"/>
    <w:link w:val="P14"/>
    <w:rPr>
      <w:i w:val="1"/>
      <w:iCs w:val="1"/>
      <w:color w:val="2F5496" w:themeColor="accent1" w:themeShade="BF"/>
    </w:rPr>
  </w:style>
  <w:style w:type="character" w:styleId="C17">
    <w:name w:val="Intense Reference1"/>
    <w:basedOn w:val="C0"/>
    <w:qFormat/>
    <w:rPr>
      <w:b w:val="1"/>
      <w:bCs w:val="1"/>
      <w:smallCaps w:val="1"/>
      <w:color w:val="2F5496" w:themeColor="accent1" w:themeShade="BF"/>
      <w:spacing w:val="5"/>
    </w:rPr>
  </w:style>
  <w:style w:type="character" w:styleId="C18">
    <w:name w:val="Üst Bilgi Char"/>
    <w:basedOn w:val="C0"/>
    <w:link w:val="P15"/>
    <w:rPr/>
  </w:style>
  <w:style w:type="character" w:styleId="C19">
    <w:name w:val="Alt Bilgi Char"/>
    <w:basedOn w:val="C0"/>
    <w:link w:val="P16"/>
    <w:rPr/>
  </w:style>
  <w:style w:type="character" w:styleId="C20">
    <w:name w:val="Footnote Reference"/>
    <w:semiHidden/>
    <w:rPr>
      <w:vertAlign w:val="superscript"/>
    </w:rPr>
  </w:style>
  <w:style w:type="character" w:styleId="C21">
    <w:name w:val="Footnote Text Char"/>
    <w:link w:val="P17"/>
    <w:semiHidden/>
    <w:rPr>
      <w:sz w:val="20"/>
      <w:szCs w:val="20"/>
    </w:rPr>
  </w:style>
  <w:style w:type="character" w:styleId="C22">
    <w:name w:val="Endnote Reference"/>
    <w:semiHidden/>
    <w:rPr>
      <w:vertAlign w:val="superscript"/>
    </w:rPr>
  </w:style>
  <w:style w:type="character" w:styleId="C23">
    <w:name w:val="Endnote Text Char"/>
    <w:link w:val="P18"/>
    <w:semiHidden/>
    <w:rPr>
      <w:sz w:val="20"/>
      <w:szCs w:val="20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nt1" Type="http://schemas.openxmlformats.org/officeDocument/2006/relationships/footnotes" Target="footnotes.xml" /><Relationship Id="RelEnt1" Type="http://schemas.openxmlformats.org/officeDocument/2006/relationships/endnotes" Target="endnotes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API/25.2.3.0</Application>
  <AppVersion>25.2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Hande Karli</dc:creator>
  <dcterms:created xsi:type="dcterms:W3CDTF">2026-01-03T11:48:32Z</dcterms:created>
  <cp:lastModifiedBy>Yusuf Kenan</cp:lastModifiedBy>
  <dcterms:modified xsi:type="dcterms:W3CDTF">2026-01-03T11:48:32Z</dcterms:modified>
  <cp:revision>2</cp:revision>
</cp:coreProperties>
</file>